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13121" w:rsidP="00005864" w14:paraId="05A7D3E8" w14:textId="1A9B4ECD">
      <w:pPr>
        <w:spacing w:line="480" w:lineRule="auto"/>
        <w:jc w:val="center"/>
        <w:rPr>
          <w:rFonts w:ascii="Times New Roman" w:hAnsi="Times New Roman" w:cs="Times New Roman"/>
          <w:sz w:val="24"/>
          <w:szCs w:val="24"/>
          <w:lang w:val="en-US"/>
        </w:rPr>
      </w:pPr>
    </w:p>
    <w:p w:rsidR="005A4004" w:rsidP="00005864" w14:paraId="47226F4F" w14:textId="77777777">
      <w:pPr>
        <w:spacing w:line="480" w:lineRule="auto"/>
        <w:jc w:val="center"/>
        <w:rPr>
          <w:rFonts w:ascii="Times New Roman" w:hAnsi="Times New Roman" w:cs="Times New Roman"/>
          <w:sz w:val="24"/>
          <w:szCs w:val="24"/>
          <w:lang w:val="en-US"/>
        </w:rPr>
      </w:pPr>
    </w:p>
    <w:p w:rsidR="00005864" w:rsidP="00005864" w14:paraId="532AD5A7" w14:textId="2D5356F0">
      <w:pPr>
        <w:spacing w:line="480" w:lineRule="auto"/>
        <w:jc w:val="center"/>
        <w:rPr>
          <w:rFonts w:ascii="Times New Roman" w:hAnsi="Times New Roman" w:cs="Times New Roman"/>
          <w:sz w:val="24"/>
          <w:szCs w:val="24"/>
          <w:lang w:val="en-US"/>
        </w:rPr>
      </w:pPr>
    </w:p>
    <w:p w:rsidR="00005864" w:rsidP="00005864" w14:paraId="713B04E9" w14:textId="003842AE">
      <w:pPr>
        <w:spacing w:line="480" w:lineRule="auto"/>
        <w:jc w:val="center"/>
        <w:rPr>
          <w:rFonts w:ascii="Times New Roman" w:hAnsi="Times New Roman" w:cs="Times New Roman"/>
          <w:sz w:val="24"/>
          <w:szCs w:val="24"/>
          <w:lang w:val="en-US"/>
        </w:rPr>
      </w:pPr>
    </w:p>
    <w:p w:rsidR="00005864" w:rsidP="00005864" w14:paraId="0962AD35" w14:textId="299B933D">
      <w:pPr>
        <w:spacing w:line="480" w:lineRule="auto"/>
        <w:jc w:val="center"/>
        <w:rPr>
          <w:rFonts w:ascii="Times New Roman" w:hAnsi="Times New Roman" w:cs="Times New Roman"/>
          <w:sz w:val="24"/>
          <w:szCs w:val="24"/>
          <w:lang w:val="en-US"/>
        </w:rPr>
      </w:pPr>
    </w:p>
    <w:p w:rsidR="00005864" w:rsidP="00005864" w14:paraId="506C49DD" w14:textId="435E89A0">
      <w:pPr>
        <w:spacing w:line="480" w:lineRule="auto"/>
        <w:jc w:val="center"/>
        <w:rPr>
          <w:rFonts w:ascii="Times New Roman" w:hAnsi="Times New Roman" w:cs="Times New Roman"/>
          <w:color w:val="222222"/>
          <w:sz w:val="24"/>
          <w:szCs w:val="24"/>
          <w:shd w:val="clear" w:color="auto" w:fill="FFFFFF"/>
        </w:rPr>
      </w:pPr>
      <w:r w:rsidRPr="00005864">
        <w:rPr>
          <w:rFonts w:ascii="Times New Roman" w:hAnsi="Times New Roman" w:cs="Times New Roman"/>
          <w:color w:val="222222"/>
          <w:sz w:val="24"/>
          <w:szCs w:val="24"/>
          <w:shd w:val="clear" w:color="auto" w:fill="FFFFFF"/>
        </w:rPr>
        <w:t xml:space="preserve">Cams </w:t>
      </w:r>
      <w:r>
        <w:rPr>
          <w:rFonts w:ascii="Times New Roman" w:hAnsi="Times New Roman" w:cs="Times New Roman"/>
          <w:color w:val="222222"/>
          <w:sz w:val="24"/>
          <w:szCs w:val="24"/>
          <w:shd w:val="clear" w:color="auto" w:fill="FFFFFF"/>
        </w:rPr>
        <w:t>a</w:t>
      </w:r>
      <w:r w:rsidRPr="00005864">
        <w:rPr>
          <w:rFonts w:ascii="Times New Roman" w:hAnsi="Times New Roman" w:cs="Times New Roman"/>
          <w:color w:val="222222"/>
          <w:sz w:val="24"/>
          <w:szCs w:val="24"/>
          <w:shd w:val="clear" w:color="auto" w:fill="FFFFFF"/>
        </w:rPr>
        <w:t>nd Dash Increase Transparency</w:t>
      </w:r>
    </w:p>
    <w:p w:rsidR="00005864" w:rsidP="00005864" w14:paraId="1CD2A927" w14:textId="10E4FAB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Student’s Name </w:t>
      </w:r>
    </w:p>
    <w:p w:rsidR="00005864" w:rsidP="00005864" w14:paraId="3B727A5F" w14:textId="05D2466C">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Instructor’s Name</w:t>
      </w:r>
    </w:p>
    <w:p w:rsidR="00005864" w:rsidP="00005864" w14:paraId="6EE443F8" w14:textId="2FCBFE68">
      <w:pPr>
        <w:spacing w:line="480" w:lineRule="auto"/>
        <w:jc w:val="center"/>
        <w:rPr>
          <w:rFonts w:ascii="Times New Roman" w:hAnsi="Times New Roman" w:cs="Times New Roman"/>
          <w:sz w:val="24"/>
          <w:szCs w:val="24"/>
          <w:lang w:val="en-US"/>
        </w:rPr>
      </w:pPr>
      <w:r>
        <w:rPr>
          <w:rFonts w:ascii="Times New Roman" w:hAnsi="Times New Roman" w:cs="Times New Roman"/>
          <w:color w:val="222222"/>
          <w:sz w:val="24"/>
          <w:szCs w:val="24"/>
          <w:shd w:val="clear" w:color="auto" w:fill="FFFFFF"/>
        </w:rPr>
        <w:t xml:space="preserve">Date </w:t>
      </w:r>
    </w:p>
    <w:p w:rsidR="00F13121" w:rsidP="00F13121" w14:paraId="4B3C0E8C" w14:textId="77777777">
      <w:pPr>
        <w:spacing w:line="480" w:lineRule="auto"/>
        <w:rPr>
          <w:rFonts w:ascii="Times New Roman" w:hAnsi="Times New Roman" w:cs="Times New Roman"/>
          <w:sz w:val="24"/>
          <w:szCs w:val="24"/>
          <w:lang w:val="en-US"/>
        </w:rPr>
      </w:pPr>
    </w:p>
    <w:p w:rsidR="00F13121" w:rsidP="00F13121" w14:paraId="5455BE7F" w14:textId="77777777">
      <w:pPr>
        <w:spacing w:line="480" w:lineRule="auto"/>
        <w:rPr>
          <w:rFonts w:ascii="Times New Roman" w:hAnsi="Times New Roman" w:cs="Times New Roman"/>
          <w:sz w:val="24"/>
          <w:szCs w:val="24"/>
          <w:lang w:val="en-US"/>
        </w:rPr>
      </w:pPr>
    </w:p>
    <w:p w:rsidR="00F13121" w:rsidP="00F13121" w14:paraId="765B03C9" w14:textId="77777777">
      <w:pPr>
        <w:spacing w:line="480" w:lineRule="auto"/>
        <w:rPr>
          <w:rFonts w:ascii="Times New Roman" w:hAnsi="Times New Roman" w:cs="Times New Roman"/>
          <w:sz w:val="24"/>
          <w:szCs w:val="24"/>
          <w:lang w:val="en-US"/>
        </w:rPr>
      </w:pPr>
    </w:p>
    <w:p w:rsidR="00F13121" w:rsidP="00F13121" w14:paraId="39489A03" w14:textId="77777777">
      <w:pPr>
        <w:spacing w:line="480" w:lineRule="auto"/>
        <w:rPr>
          <w:rFonts w:ascii="Times New Roman" w:hAnsi="Times New Roman" w:cs="Times New Roman"/>
          <w:sz w:val="24"/>
          <w:szCs w:val="24"/>
          <w:lang w:val="en-US"/>
        </w:rPr>
      </w:pPr>
    </w:p>
    <w:p w:rsidR="00F13121" w:rsidP="00F13121" w14:paraId="5E70CB21" w14:textId="77777777">
      <w:pPr>
        <w:spacing w:line="480" w:lineRule="auto"/>
        <w:rPr>
          <w:rFonts w:ascii="Times New Roman" w:hAnsi="Times New Roman" w:cs="Times New Roman"/>
          <w:sz w:val="24"/>
          <w:szCs w:val="24"/>
          <w:lang w:val="en-US"/>
        </w:rPr>
      </w:pPr>
    </w:p>
    <w:p w:rsidR="00F13121" w:rsidP="00F13121" w14:paraId="740631AC" w14:textId="77777777">
      <w:pPr>
        <w:spacing w:line="480" w:lineRule="auto"/>
        <w:rPr>
          <w:rFonts w:ascii="Times New Roman" w:hAnsi="Times New Roman" w:cs="Times New Roman"/>
          <w:sz w:val="24"/>
          <w:szCs w:val="24"/>
          <w:lang w:val="en-US"/>
        </w:rPr>
      </w:pPr>
    </w:p>
    <w:p w:rsidR="005A4004" w14:paraId="6316B2AF" w14:textId="77777777">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F13121" w:rsidP="005A4004" w14:paraId="5CB8E042" w14:textId="366BDD54">
      <w:pPr>
        <w:spacing w:line="480" w:lineRule="auto"/>
        <w:jc w:val="center"/>
        <w:rPr>
          <w:rFonts w:ascii="Times New Roman" w:hAnsi="Times New Roman" w:cs="Times New Roman"/>
          <w:sz w:val="24"/>
          <w:szCs w:val="24"/>
          <w:lang w:val="en-US"/>
        </w:rPr>
      </w:pPr>
      <w:r w:rsidRPr="00005864">
        <w:rPr>
          <w:rFonts w:ascii="Times New Roman" w:hAnsi="Times New Roman" w:cs="Times New Roman"/>
          <w:color w:val="222222"/>
          <w:sz w:val="24"/>
          <w:szCs w:val="24"/>
          <w:shd w:val="clear" w:color="auto" w:fill="FFFFFF"/>
        </w:rPr>
        <w:t xml:space="preserve">Cams </w:t>
      </w:r>
      <w:r>
        <w:rPr>
          <w:rFonts w:ascii="Times New Roman" w:hAnsi="Times New Roman" w:cs="Times New Roman"/>
          <w:color w:val="222222"/>
          <w:sz w:val="24"/>
          <w:szCs w:val="24"/>
          <w:shd w:val="clear" w:color="auto" w:fill="FFFFFF"/>
        </w:rPr>
        <w:t>a</w:t>
      </w:r>
      <w:r w:rsidRPr="00005864">
        <w:rPr>
          <w:rFonts w:ascii="Times New Roman" w:hAnsi="Times New Roman" w:cs="Times New Roman"/>
          <w:color w:val="222222"/>
          <w:sz w:val="24"/>
          <w:szCs w:val="24"/>
          <w:shd w:val="clear" w:color="auto" w:fill="FFFFFF"/>
        </w:rPr>
        <w:t>nd Dash</w:t>
      </w:r>
      <w:r>
        <w:rPr>
          <w:rFonts w:ascii="Times New Roman" w:hAnsi="Times New Roman" w:cs="Times New Roman"/>
          <w:color w:val="222222"/>
          <w:sz w:val="24"/>
          <w:szCs w:val="24"/>
          <w:shd w:val="clear" w:color="auto" w:fill="FFFFFF"/>
        </w:rPr>
        <w:t xml:space="preserve"> Boost</w:t>
      </w:r>
      <w:r w:rsidRPr="00005864">
        <w:rPr>
          <w:rFonts w:ascii="Times New Roman" w:hAnsi="Times New Roman" w:cs="Times New Roman"/>
          <w:color w:val="222222"/>
          <w:sz w:val="24"/>
          <w:szCs w:val="24"/>
          <w:shd w:val="clear" w:color="auto" w:fill="FFFFFF"/>
        </w:rPr>
        <w:t xml:space="preserve"> Increase Transparenc</w:t>
      </w:r>
      <w:r w:rsidR="00117C6E">
        <w:rPr>
          <w:rFonts w:ascii="Times New Roman" w:hAnsi="Times New Roman" w:cs="Times New Roman"/>
          <w:color w:val="222222"/>
          <w:sz w:val="24"/>
          <w:szCs w:val="24"/>
          <w:shd w:val="clear" w:color="auto" w:fill="FFFFFF"/>
        </w:rPr>
        <w:t>y</w:t>
      </w:r>
    </w:p>
    <w:p w:rsidR="00F13121" w:rsidRPr="00F13121" w:rsidP="00005864" w14:paraId="34F2430B" w14:textId="67F00C82">
      <w:pPr>
        <w:spacing w:line="480" w:lineRule="auto"/>
        <w:ind w:firstLine="720"/>
        <w:rPr>
          <w:rFonts w:ascii="Times New Roman" w:hAnsi="Times New Roman" w:cs="Times New Roman"/>
          <w:sz w:val="24"/>
          <w:szCs w:val="24"/>
          <w:lang w:val="en-US"/>
        </w:rPr>
      </w:pPr>
      <w:r w:rsidRPr="00F13121">
        <w:rPr>
          <w:rFonts w:ascii="Times New Roman" w:hAnsi="Times New Roman" w:cs="Times New Roman"/>
          <w:sz w:val="24"/>
          <w:szCs w:val="24"/>
          <w:lang w:val="en-US"/>
        </w:rPr>
        <w:t xml:space="preserve">Every citizen has the ultimate right constitutionally to film police officers. With the emergence of modern technology, developers have launched various apps and devices known as mobile justice apps and devices that are designed to record police encounters with citizens in different states. The apps and devices involve making the officers responsible for their indulgent while on duty. These platforms include the civil liberties organization and the American civil liberties union (ACLU). When a recording or a video is uploaded to ACLU, it implies that such videos or recordings are beyond confiscation and destruction by police officers who unlawfully interpose with the right of the public </w:t>
      </w:r>
      <w:r w:rsidR="00005864">
        <w:rPr>
          <w:rFonts w:ascii="Times New Roman" w:hAnsi="Times New Roman" w:cs="Times New Roman"/>
          <w:sz w:val="24"/>
          <w:szCs w:val="24"/>
          <w:lang w:val="en-US"/>
        </w:rPr>
        <w:t xml:space="preserve">to </w:t>
      </w:r>
      <w:r w:rsidRPr="00F13121">
        <w:rPr>
          <w:rFonts w:ascii="Times New Roman" w:hAnsi="Times New Roman" w:cs="Times New Roman"/>
          <w:sz w:val="24"/>
          <w:szCs w:val="24"/>
          <w:lang w:val="en-US"/>
        </w:rPr>
        <w:t xml:space="preserve">record actions of the police on duty. </w:t>
      </w:r>
    </w:p>
    <w:p w:rsidR="00F13121" w:rsidRPr="00F13121" w:rsidP="00005864" w14:paraId="4D02CD18" w14:textId="461327F0">
      <w:pPr>
        <w:spacing w:line="480" w:lineRule="auto"/>
        <w:ind w:firstLine="720"/>
        <w:rPr>
          <w:rFonts w:ascii="Times New Roman" w:hAnsi="Times New Roman" w:cs="Times New Roman"/>
          <w:sz w:val="24"/>
          <w:szCs w:val="24"/>
          <w:lang w:val="en-US"/>
        </w:rPr>
      </w:pPr>
      <w:r w:rsidRPr="00F13121">
        <w:rPr>
          <w:rFonts w:ascii="Times New Roman" w:hAnsi="Times New Roman" w:cs="Times New Roman"/>
          <w:sz w:val="24"/>
          <w:szCs w:val="24"/>
          <w:lang w:val="en-US"/>
        </w:rPr>
        <w:t xml:space="preserve">Constitutionally, the police officers are allowed to conduct searches on suspects who might be in possession of object </w:t>
      </w:r>
      <w:r w:rsidR="00005864">
        <w:rPr>
          <w:rFonts w:ascii="Times New Roman" w:hAnsi="Times New Roman" w:cs="Times New Roman"/>
          <w:sz w:val="24"/>
          <w:szCs w:val="24"/>
          <w:lang w:val="en-US"/>
        </w:rPr>
        <w:t>of</w:t>
      </w:r>
      <w:r w:rsidRPr="00F13121">
        <w:rPr>
          <w:rFonts w:ascii="Times New Roman" w:hAnsi="Times New Roman" w:cs="Times New Roman"/>
          <w:sz w:val="24"/>
          <w:szCs w:val="24"/>
          <w:lang w:val="en-US"/>
        </w:rPr>
        <w:t xml:space="preserve"> search after being allowed the permission for search by the suspect. For instance, in US Supreme court ruling of Florida against Jimeno, the court held that the right of a criminal to be free from unnecessary searches is not breached in Fourth Amendment as long as the suspect grants the police the permission to conduct a search </w:t>
      </w:r>
      <w:r w:rsidR="005A4004">
        <w:rPr>
          <w:rFonts w:ascii="Times New Roman" w:hAnsi="Times New Roman" w:cs="Times New Roman"/>
          <w:sz w:val="24"/>
          <w:szCs w:val="24"/>
          <w:lang w:val="en-US"/>
        </w:rPr>
        <w:t>on his car. According to JUSTAI (</w:t>
      </w:r>
      <w:r w:rsidRPr="00F13121">
        <w:rPr>
          <w:rFonts w:ascii="Times New Roman" w:hAnsi="Times New Roman" w:cs="Times New Roman"/>
          <w:sz w:val="24"/>
          <w:szCs w:val="24"/>
          <w:lang w:val="en-US"/>
        </w:rPr>
        <w:t>1991)</w:t>
      </w:r>
      <w:r w:rsidR="005A4004">
        <w:rPr>
          <w:rFonts w:ascii="Times New Roman" w:hAnsi="Times New Roman" w:cs="Times New Roman"/>
          <w:sz w:val="24"/>
          <w:szCs w:val="24"/>
          <w:lang w:val="en-US"/>
        </w:rPr>
        <w:t>,</w:t>
      </w:r>
      <w:r w:rsidRPr="00F13121">
        <w:rPr>
          <w:rFonts w:ascii="Times New Roman" w:hAnsi="Times New Roman" w:cs="Times New Roman"/>
          <w:sz w:val="24"/>
          <w:szCs w:val="24"/>
          <w:lang w:val="en-US"/>
        </w:rPr>
        <w:t xml:space="preserve"> the amendment is gratified when under the scenarios, it is objectively sensible for police on duty to hold that the degree of suspect’s knowledge allowed them access to a particular container. </w:t>
      </w:r>
    </w:p>
    <w:p w:rsidR="00F13121" w:rsidRPr="00F13121" w:rsidP="00005864" w14:paraId="7F82F239" w14:textId="437C60CF">
      <w:pPr>
        <w:spacing w:line="480" w:lineRule="auto"/>
        <w:ind w:firstLine="720"/>
        <w:rPr>
          <w:rFonts w:ascii="Times New Roman" w:hAnsi="Times New Roman" w:cs="Times New Roman"/>
          <w:sz w:val="24"/>
          <w:szCs w:val="24"/>
          <w:lang w:val="en-US"/>
        </w:rPr>
      </w:pPr>
      <w:r w:rsidRPr="00F13121">
        <w:rPr>
          <w:rFonts w:ascii="Times New Roman" w:hAnsi="Times New Roman" w:cs="Times New Roman"/>
          <w:sz w:val="24"/>
          <w:szCs w:val="24"/>
          <w:lang w:val="en-US"/>
        </w:rPr>
        <w:t xml:space="preserve">The court ruling of the case of Gericke versus Begin, Lipez the circuit judge held that the case was of importance because it preempts the concerns about the citizens right as enshrined in the first amendment right to record or film the actions of a police officer at the traffic stop. Carla Gericke tried to take a video of Joseph Kelley a sergeant who was participating in a late-night traffic stop. Consequentially, Gericke got arrested and charged with different crimes such as violation of New Hampshire’s wiretapping statute. “Gericke was not tried and later sued Weare </w:t>
      </w:r>
      <w:r w:rsidRPr="00F13121">
        <w:rPr>
          <w:rFonts w:ascii="Times New Roman" w:hAnsi="Times New Roman" w:cs="Times New Roman"/>
          <w:sz w:val="24"/>
          <w:szCs w:val="24"/>
          <w:lang w:val="en-US"/>
        </w:rPr>
        <w:t xml:space="preserve">town, the police officers who were responsible for her arrest and charge </w:t>
      </w:r>
      <w:r w:rsidR="00005864">
        <w:rPr>
          <w:rFonts w:ascii="Times New Roman" w:hAnsi="Times New Roman" w:cs="Times New Roman"/>
          <w:sz w:val="24"/>
          <w:szCs w:val="24"/>
          <w:lang w:val="en-US"/>
        </w:rPr>
        <w:t>as well as</w:t>
      </w:r>
      <w:r w:rsidR="00F23A9F">
        <w:rPr>
          <w:rFonts w:ascii="Times New Roman" w:hAnsi="Times New Roman" w:cs="Times New Roman"/>
          <w:sz w:val="24"/>
          <w:szCs w:val="24"/>
          <w:lang w:val="en-US"/>
        </w:rPr>
        <w:t xml:space="preserve"> the town’s police department</w:t>
      </w:r>
      <w:r w:rsidR="00005864">
        <w:rPr>
          <w:rFonts w:ascii="Times New Roman" w:hAnsi="Times New Roman" w:cs="Times New Roman"/>
          <w:sz w:val="24"/>
          <w:szCs w:val="24"/>
          <w:lang w:val="en-US"/>
        </w:rPr>
        <w:t xml:space="preserve">” </w:t>
      </w:r>
      <w:r w:rsidRPr="00F13121" w:rsidR="00005864">
        <w:rPr>
          <w:rFonts w:ascii="Times New Roman" w:hAnsi="Times New Roman" w:cs="Times New Roman"/>
          <w:sz w:val="24"/>
          <w:szCs w:val="24"/>
          <w:lang w:val="en-US"/>
        </w:rPr>
        <w:t>(</w:t>
      </w:r>
      <w:r w:rsidR="005A4004">
        <w:rPr>
          <w:rFonts w:ascii="Times New Roman" w:hAnsi="Times New Roman" w:cs="Times New Roman"/>
          <w:sz w:val="24"/>
          <w:szCs w:val="24"/>
          <w:lang w:val="en-US"/>
        </w:rPr>
        <w:t xml:space="preserve">CARA Search, </w:t>
      </w:r>
      <w:r w:rsidRPr="00F13121">
        <w:rPr>
          <w:rFonts w:ascii="Times New Roman" w:hAnsi="Times New Roman" w:cs="Times New Roman"/>
          <w:sz w:val="24"/>
          <w:szCs w:val="24"/>
          <w:lang w:val="en-US"/>
        </w:rPr>
        <w:t xml:space="preserve">2014). Gericke alleged that the charges by the wiretapping formed retaliatory prosecution in breach of her rights according to first amendment right. </w:t>
      </w:r>
    </w:p>
    <w:p w:rsidR="00F13121" w:rsidRPr="00F13121" w:rsidP="00005864" w14:paraId="5D93731C" w14:textId="214DB2B5">
      <w:pPr>
        <w:spacing w:line="480" w:lineRule="auto"/>
        <w:ind w:firstLine="720"/>
        <w:rPr>
          <w:rFonts w:ascii="Times New Roman" w:hAnsi="Times New Roman" w:cs="Times New Roman"/>
          <w:sz w:val="24"/>
          <w:szCs w:val="24"/>
          <w:lang w:val="en-US"/>
        </w:rPr>
      </w:pPr>
      <w:r w:rsidRPr="00F13121">
        <w:rPr>
          <w:rFonts w:ascii="Times New Roman" w:hAnsi="Times New Roman" w:cs="Times New Roman"/>
          <w:sz w:val="24"/>
          <w:szCs w:val="24"/>
          <w:lang w:val="en-US"/>
        </w:rPr>
        <w:t xml:space="preserve">The law permits the use of apps and devices in recording the police conducts while on duty as it is demonstrated in the United States court of appeals, first circuit case involving Simon Glik against officer John Cunniffe. </w:t>
      </w:r>
      <w:r w:rsidRPr="00F13121">
        <w:rPr>
          <w:rFonts w:ascii="Times New Roman" w:hAnsi="Times New Roman" w:cs="Times New Roman"/>
          <w:sz w:val="24"/>
          <w:szCs w:val="24"/>
          <w:lang w:val="en-US"/>
        </w:rPr>
        <w:t>FindLaw</w:t>
      </w:r>
      <w:r w:rsidR="005A4004">
        <w:rPr>
          <w:rFonts w:ascii="Times New Roman" w:hAnsi="Times New Roman" w:cs="Times New Roman"/>
          <w:sz w:val="24"/>
          <w:szCs w:val="24"/>
          <w:lang w:val="en-US"/>
        </w:rPr>
        <w:t xml:space="preserve"> (</w:t>
      </w:r>
      <w:r w:rsidRPr="00F13121">
        <w:rPr>
          <w:rFonts w:ascii="Times New Roman" w:hAnsi="Times New Roman" w:cs="Times New Roman"/>
          <w:sz w:val="24"/>
          <w:szCs w:val="24"/>
          <w:lang w:val="en-US"/>
        </w:rPr>
        <w:t>2011) reports that “</w:t>
      </w:r>
      <w:r w:rsidRPr="00F13121">
        <w:rPr>
          <w:rFonts w:ascii="Times New Roman" w:hAnsi="Times New Roman" w:cs="Times New Roman"/>
          <w:sz w:val="24"/>
          <w:szCs w:val="24"/>
          <w:lang w:val="en-US"/>
        </w:rPr>
        <w:t>Glik</w:t>
      </w:r>
      <w:r w:rsidRPr="00F13121">
        <w:rPr>
          <w:rFonts w:ascii="Times New Roman" w:hAnsi="Times New Roman" w:cs="Times New Roman"/>
          <w:sz w:val="24"/>
          <w:szCs w:val="24"/>
          <w:lang w:val="en-US"/>
        </w:rPr>
        <w:t xml:space="preserve"> was apprehended for using a digital camera on his cell phone to film various police officers that were seen arresting a youth on the Boston Common.” The charges laid upon Glik include</w:t>
      </w:r>
      <w:r w:rsidR="00117C6E">
        <w:rPr>
          <w:rFonts w:ascii="Times New Roman" w:hAnsi="Times New Roman" w:cs="Times New Roman"/>
          <w:sz w:val="24"/>
          <w:szCs w:val="24"/>
          <w:lang w:val="en-US"/>
        </w:rPr>
        <w:t>d</w:t>
      </w:r>
      <w:r w:rsidRPr="00F13121">
        <w:rPr>
          <w:rFonts w:ascii="Times New Roman" w:hAnsi="Times New Roman" w:cs="Times New Roman"/>
          <w:sz w:val="24"/>
          <w:szCs w:val="24"/>
          <w:lang w:val="en-US"/>
        </w:rPr>
        <w:t xml:space="preserve"> violation of Massachusetts’s wiretap statute in addition to other state law offenses. Lawfully, these charges were termed as pointless and were nullified. As a result, Glik filed a lawsuit claiming that his rights as dictated by the first and fourth amendments were violated. </w:t>
      </w:r>
    </w:p>
    <w:p w:rsidR="00005864" w:rsidP="005A4004" w14:paraId="6AAACACD" w14:textId="244EC30D">
      <w:pPr>
        <w:spacing w:line="480" w:lineRule="auto"/>
        <w:ind w:firstLine="720"/>
        <w:rPr>
          <w:rFonts w:ascii="Times New Roman" w:hAnsi="Times New Roman" w:cs="Times New Roman"/>
          <w:sz w:val="24"/>
          <w:szCs w:val="24"/>
          <w:lang w:val="en-US"/>
        </w:rPr>
      </w:pPr>
      <w:r w:rsidRPr="00F13121">
        <w:rPr>
          <w:rFonts w:ascii="Times New Roman" w:hAnsi="Times New Roman" w:cs="Times New Roman"/>
          <w:sz w:val="24"/>
          <w:szCs w:val="24"/>
          <w:lang w:val="en-US"/>
        </w:rPr>
        <w:t xml:space="preserve">Additionally, in Illinois against </w:t>
      </w:r>
      <w:r w:rsidRPr="00F13121">
        <w:rPr>
          <w:rFonts w:ascii="Times New Roman" w:hAnsi="Times New Roman" w:cs="Times New Roman"/>
          <w:sz w:val="24"/>
          <w:szCs w:val="24"/>
          <w:lang w:val="en-US"/>
        </w:rPr>
        <w:t>Caballes</w:t>
      </w:r>
      <w:r w:rsidRPr="00F13121">
        <w:rPr>
          <w:rFonts w:ascii="Times New Roman" w:hAnsi="Times New Roman" w:cs="Times New Roman"/>
          <w:sz w:val="24"/>
          <w:szCs w:val="24"/>
          <w:lang w:val="en-US"/>
        </w:rPr>
        <w:t xml:space="preserve"> court ruled that a dog sniff performed during a conceited lawful and reasonable traffic stop which conceals the information but reveals the location of a substance that is illegally possessed does not infringe individual’s fourth amendment rights (SUPREME COURT</w:t>
      </w:r>
      <w:r w:rsidR="005A4004">
        <w:rPr>
          <w:rFonts w:ascii="Times New Roman" w:hAnsi="Times New Roman" w:cs="Times New Roman"/>
          <w:sz w:val="24"/>
          <w:szCs w:val="24"/>
          <w:lang w:val="en-US"/>
        </w:rPr>
        <w:t xml:space="preserve"> OF THE UNITED STATES, </w:t>
      </w:r>
      <w:r w:rsidRPr="00F13121">
        <w:rPr>
          <w:rFonts w:ascii="Times New Roman" w:hAnsi="Times New Roman" w:cs="Times New Roman"/>
          <w:sz w:val="24"/>
          <w:szCs w:val="24"/>
          <w:lang w:val="en-US"/>
        </w:rPr>
        <w:t>2004). Moreover, application of devices handling both the citizen cams and the police cams is substantiated by US Supreme court ruling of Katz versus United States, 389 US 347 in 1967 where the petitioner got convicted via an indictment charged with disseminating wagering information via telephone across lines of state was violat</w:t>
      </w:r>
      <w:r w:rsidR="00117C6E">
        <w:rPr>
          <w:rFonts w:ascii="Times New Roman" w:hAnsi="Times New Roman" w:cs="Times New Roman"/>
          <w:sz w:val="24"/>
          <w:szCs w:val="24"/>
          <w:lang w:val="en-US"/>
        </w:rPr>
        <w:t>ion of</w:t>
      </w:r>
      <w:r w:rsidRPr="00F13121">
        <w:rPr>
          <w:rFonts w:ascii="Times New Roman" w:hAnsi="Times New Roman" w:cs="Times New Roman"/>
          <w:sz w:val="24"/>
          <w:szCs w:val="24"/>
          <w:lang w:val="en-US"/>
        </w:rPr>
        <w:t xml:space="preserve"> the USC and 1084. The court held that according to the fourth amendment the seizure of physical items can be extended to the recording of statements of police of</w:t>
      </w:r>
      <w:r w:rsidR="005A4004">
        <w:rPr>
          <w:rFonts w:ascii="Times New Roman" w:hAnsi="Times New Roman" w:cs="Times New Roman"/>
          <w:sz w:val="24"/>
          <w:szCs w:val="24"/>
          <w:lang w:val="en-US"/>
        </w:rPr>
        <w:t xml:space="preserve">ficers on duty (JUSTIA, </w:t>
      </w:r>
      <w:r w:rsidRPr="00F13121">
        <w:rPr>
          <w:rFonts w:ascii="Times New Roman" w:hAnsi="Times New Roman" w:cs="Times New Roman"/>
          <w:sz w:val="24"/>
          <w:szCs w:val="24"/>
          <w:lang w:val="en-US"/>
        </w:rPr>
        <w:t xml:space="preserve">1967). </w:t>
      </w:r>
      <w:r w:rsidRPr="00F13121" w:rsidR="00776EF9">
        <w:rPr>
          <w:rFonts w:ascii="Times New Roman" w:hAnsi="Times New Roman" w:cs="Times New Roman"/>
          <w:sz w:val="24"/>
          <w:szCs w:val="24"/>
          <w:lang w:val="en-US"/>
        </w:rPr>
        <w:t xml:space="preserve"> </w:t>
      </w:r>
    </w:p>
    <w:p w:rsidR="005A4004" w14:paraId="5C159E28" w14:textId="7777777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005864" w:rsidRPr="00F13121" w:rsidP="005A4004" w14:paraId="5481C8B9" w14:textId="6D0E63C0">
      <w:pPr>
        <w:spacing w:line="480" w:lineRule="auto"/>
        <w:jc w:val="center"/>
        <w:rPr>
          <w:rFonts w:ascii="Times New Roman" w:hAnsi="Times New Roman" w:cs="Times New Roman"/>
          <w:sz w:val="24"/>
          <w:szCs w:val="24"/>
          <w:lang w:val="en-US"/>
        </w:rPr>
      </w:pPr>
      <w:r w:rsidRPr="00F13121">
        <w:rPr>
          <w:rFonts w:ascii="Times New Roman" w:hAnsi="Times New Roman" w:cs="Times New Roman"/>
          <w:sz w:val="24"/>
          <w:szCs w:val="24"/>
          <w:lang w:val="en-US"/>
        </w:rPr>
        <w:t>References</w:t>
      </w:r>
    </w:p>
    <w:p w:rsidR="0063538D" w:rsidRPr="00F13121" w:rsidP="00005864" w14:paraId="64909107"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CARA Search. </w:t>
      </w:r>
      <w:r w:rsidRPr="00F13121">
        <w:rPr>
          <w:rFonts w:ascii="Times New Roman" w:hAnsi="Times New Roman" w:cs="Times New Roman"/>
          <w:sz w:val="24"/>
          <w:szCs w:val="24"/>
        </w:rPr>
        <w:t xml:space="preserve">(May, 2014). Gericke v. Begin 753 F.3d 1 (1st Cir. 2014: United States Court of Appeals, First Circuit. Retrieved from </w:t>
      </w:r>
      <w:hyperlink r:id="rId4" w:history="1">
        <w:r w:rsidRPr="00F13121">
          <w:rPr>
            <w:rStyle w:val="Hyperlink"/>
            <w:rFonts w:ascii="Times New Roman" w:hAnsi="Times New Roman" w:cs="Times New Roman"/>
            <w:sz w:val="24"/>
            <w:szCs w:val="24"/>
          </w:rPr>
          <w:t>https://casetext.com/case/gericke-v-begin</w:t>
        </w:r>
      </w:hyperlink>
    </w:p>
    <w:p w:rsidR="0063538D" w:rsidRPr="00F13121" w:rsidP="00005864" w14:paraId="1918B3FA"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FindLaw</w:t>
      </w:r>
      <w:r>
        <w:rPr>
          <w:rFonts w:ascii="Times New Roman" w:hAnsi="Times New Roman" w:cs="Times New Roman"/>
          <w:sz w:val="24"/>
          <w:szCs w:val="24"/>
        </w:rPr>
        <w:t>.</w:t>
      </w:r>
      <w:r>
        <w:rPr>
          <w:rFonts w:ascii="Times New Roman" w:hAnsi="Times New Roman" w:cs="Times New Roman"/>
          <w:sz w:val="24"/>
          <w:szCs w:val="24"/>
        </w:rPr>
        <w:t xml:space="preserve"> </w:t>
      </w:r>
      <w:r w:rsidRPr="00F13121">
        <w:rPr>
          <w:rFonts w:ascii="Times New Roman" w:hAnsi="Times New Roman" w:cs="Times New Roman"/>
          <w:sz w:val="24"/>
          <w:szCs w:val="24"/>
        </w:rPr>
        <w:t xml:space="preserve">(August, 2011). U.S., </w:t>
      </w:r>
      <w:r w:rsidRPr="00F13121">
        <w:rPr>
          <w:rFonts w:ascii="Times New Roman" w:hAnsi="Times New Roman" w:cs="Times New Roman"/>
          <w:sz w:val="24"/>
          <w:szCs w:val="24"/>
        </w:rPr>
        <w:t>Glik</w:t>
      </w:r>
      <w:r w:rsidRPr="00F13121">
        <w:rPr>
          <w:rFonts w:ascii="Times New Roman" w:hAnsi="Times New Roman" w:cs="Times New Roman"/>
          <w:sz w:val="24"/>
          <w:szCs w:val="24"/>
        </w:rPr>
        <w:t xml:space="preserve"> v. </w:t>
      </w:r>
      <w:r w:rsidRPr="00F13121">
        <w:rPr>
          <w:rFonts w:ascii="Times New Roman" w:hAnsi="Times New Roman" w:cs="Times New Roman"/>
          <w:sz w:val="24"/>
          <w:szCs w:val="24"/>
        </w:rPr>
        <w:t>Cunniffe</w:t>
      </w:r>
      <w:r w:rsidRPr="00F13121">
        <w:rPr>
          <w:rFonts w:ascii="Times New Roman" w:hAnsi="Times New Roman" w:cs="Times New Roman"/>
          <w:sz w:val="24"/>
          <w:szCs w:val="24"/>
        </w:rPr>
        <w:t xml:space="preserve">, 655 F.3d 78 (1st Cir. 2011): United States Court of Appeals, First Circuit. Retrieved from </w:t>
      </w:r>
      <w:hyperlink r:id="rId5" w:history="1">
        <w:r w:rsidRPr="00F13121">
          <w:rPr>
            <w:rStyle w:val="Hyperlink"/>
            <w:rFonts w:ascii="Times New Roman" w:hAnsi="Times New Roman" w:cs="Times New Roman"/>
            <w:sz w:val="24"/>
            <w:szCs w:val="24"/>
          </w:rPr>
          <w:t>https://caselaw.findlaw.com/us-1st-circuit/1578557.html</w:t>
        </w:r>
      </w:hyperlink>
      <w:r w:rsidRPr="00F13121">
        <w:rPr>
          <w:rFonts w:ascii="Times New Roman" w:hAnsi="Times New Roman" w:cs="Times New Roman"/>
          <w:sz w:val="24"/>
          <w:szCs w:val="24"/>
        </w:rPr>
        <w:t xml:space="preserve"> </w:t>
      </w:r>
      <w:bookmarkStart w:id="0" w:name="_GoBack"/>
      <w:bookmarkEnd w:id="0"/>
    </w:p>
    <w:p w:rsidR="0063538D" w:rsidRPr="00F13121" w:rsidP="00005864" w14:paraId="63BD5004"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JUSTAI.</w:t>
      </w:r>
      <w:r w:rsidRPr="00F13121">
        <w:rPr>
          <w:rFonts w:ascii="Times New Roman" w:hAnsi="Times New Roman" w:cs="Times New Roman"/>
          <w:sz w:val="24"/>
          <w:szCs w:val="24"/>
        </w:rPr>
        <w:t xml:space="preserve"> (May, 1991). Florida v. </w:t>
      </w:r>
      <w:r w:rsidRPr="00F13121">
        <w:rPr>
          <w:rFonts w:ascii="Times New Roman" w:hAnsi="Times New Roman" w:cs="Times New Roman"/>
          <w:sz w:val="24"/>
          <w:szCs w:val="24"/>
        </w:rPr>
        <w:t>Jimeno</w:t>
      </w:r>
      <w:r w:rsidRPr="00F13121">
        <w:rPr>
          <w:rFonts w:ascii="Times New Roman" w:hAnsi="Times New Roman" w:cs="Times New Roman"/>
          <w:sz w:val="24"/>
          <w:szCs w:val="24"/>
        </w:rPr>
        <w:t xml:space="preserve">, 500 U.S. 248 (1991): </w:t>
      </w:r>
      <w:r w:rsidRPr="00F13121">
        <w:rPr>
          <w:rFonts w:ascii="Times New Roman" w:hAnsi="Times New Roman" w:cs="Times New Roman"/>
          <w:sz w:val="24"/>
          <w:szCs w:val="24"/>
        </w:rPr>
        <w:t>Justia</w:t>
      </w:r>
      <w:r w:rsidRPr="00F13121">
        <w:rPr>
          <w:rFonts w:ascii="Times New Roman" w:hAnsi="Times New Roman" w:cs="Times New Roman"/>
          <w:sz w:val="24"/>
          <w:szCs w:val="24"/>
        </w:rPr>
        <w:t xml:space="preserve"> Opinion Summary and Annotations. Retrieved from </w:t>
      </w:r>
      <w:hyperlink r:id="rId6" w:history="1">
        <w:r w:rsidRPr="00F13121">
          <w:rPr>
            <w:rStyle w:val="Hyperlink"/>
            <w:rFonts w:ascii="Times New Roman" w:hAnsi="Times New Roman" w:cs="Times New Roman"/>
            <w:sz w:val="24"/>
            <w:szCs w:val="24"/>
          </w:rPr>
          <w:t>https://supreme.justia.com/cases/federal/us/500/248/</w:t>
        </w:r>
      </w:hyperlink>
      <w:r w:rsidRPr="00F13121">
        <w:rPr>
          <w:rFonts w:ascii="Times New Roman" w:hAnsi="Times New Roman" w:cs="Times New Roman"/>
          <w:sz w:val="24"/>
          <w:szCs w:val="24"/>
        </w:rPr>
        <w:t xml:space="preserve"> </w:t>
      </w:r>
    </w:p>
    <w:p w:rsidR="0063538D" w:rsidRPr="00F13121" w:rsidP="00005864" w14:paraId="70B38D41"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JUSTIA.</w:t>
      </w:r>
      <w:r w:rsidRPr="00F13121">
        <w:rPr>
          <w:rFonts w:ascii="Times New Roman" w:hAnsi="Times New Roman" w:cs="Times New Roman"/>
          <w:sz w:val="24"/>
          <w:szCs w:val="24"/>
        </w:rPr>
        <w:t xml:space="preserve"> (</w:t>
      </w:r>
      <w:r w:rsidRPr="00F13121">
        <w:rPr>
          <w:rFonts w:ascii="Times New Roman" w:hAnsi="Times New Roman" w:cs="Times New Roman"/>
          <w:color w:val="000000"/>
          <w:sz w:val="24"/>
          <w:szCs w:val="24"/>
          <w:shd w:val="clear" w:color="auto" w:fill="FFFFFF"/>
        </w:rPr>
        <w:t>October, 1967</w:t>
      </w:r>
      <w:r w:rsidRPr="00F13121">
        <w:rPr>
          <w:rFonts w:ascii="Times New Roman" w:hAnsi="Times New Roman" w:cs="Times New Roman"/>
          <w:sz w:val="24"/>
          <w:szCs w:val="24"/>
        </w:rPr>
        <w:t xml:space="preserve">). Katz v. United States, 389 U.S. 347 (1967): US Case Law. Retrieved from </w:t>
      </w:r>
      <w:hyperlink r:id="rId7" w:history="1">
        <w:r w:rsidRPr="00F13121">
          <w:rPr>
            <w:rStyle w:val="Hyperlink"/>
            <w:rFonts w:ascii="Times New Roman" w:hAnsi="Times New Roman" w:cs="Times New Roman"/>
            <w:sz w:val="24"/>
            <w:szCs w:val="24"/>
          </w:rPr>
          <w:t>https://supreme.justia.com/cases/federal/us/389/347/</w:t>
        </w:r>
      </w:hyperlink>
      <w:r w:rsidRPr="00F13121">
        <w:rPr>
          <w:rFonts w:ascii="Times New Roman" w:hAnsi="Times New Roman" w:cs="Times New Roman"/>
          <w:sz w:val="24"/>
          <w:szCs w:val="24"/>
        </w:rPr>
        <w:t xml:space="preserve"> </w:t>
      </w:r>
    </w:p>
    <w:p w:rsidR="0063538D" w:rsidRPr="00F13121" w:rsidP="00005864" w14:paraId="333EF4B8" w14:textId="77777777">
      <w:pPr>
        <w:spacing w:line="480" w:lineRule="auto"/>
        <w:ind w:left="720" w:hanging="720"/>
        <w:rPr>
          <w:rFonts w:ascii="Times New Roman" w:hAnsi="Times New Roman" w:cs="Times New Roman"/>
          <w:sz w:val="24"/>
          <w:szCs w:val="24"/>
        </w:rPr>
      </w:pPr>
      <w:r w:rsidRPr="00F13121">
        <w:rPr>
          <w:rFonts w:ascii="Times New Roman" w:hAnsi="Times New Roman" w:cs="Times New Roman"/>
          <w:sz w:val="24"/>
          <w:szCs w:val="24"/>
        </w:rPr>
        <w:t>SUPR</w:t>
      </w:r>
      <w:r>
        <w:rPr>
          <w:rFonts w:ascii="Times New Roman" w:hAnsi="Times New Roman" w:cs="Times New Roman"/>
          <w:sz w:val="24"/>
          <w:szCs w:val="24"/>
        </w:rPr>
        <w:t>EME COURT OF THE UNITED STATES.</w:t>
      </w:r>
      <w:r>
        <w:rPr>
          <w:rFonts w:ascii="Times New Roman" w:hAnsi="Times New Roman" w:cs="Times New Roman"/>
          <w:sz w:val="24"/>
          <w:szCs w:val="24"/>
        </w:rPr>
        <w:t xml:space="preserve"> </w:t>
      </w:r>
      <w:r w:rsidRPr="00F13121">
        <w:rPr>
          <w:rFonts w:ascii="Times New Roman" w:hAnsi="Times New Roman" w:cs="Times New Roman"/>
          <w:sz w:val="24"/>
          <w:szCs w:val="24"/>
        </w:rPr>
        <w:t>(OCTOBER, 2004)</w:t>
      </w:r>
      <w:r>
        <w:rPr>
          <w:rFonts w:ascii="Times New Roman" w:hAnsi="Times New Roman" w:cs="Times New Roman"/>
          <w:sz w:val="24"/>
          <w:szCs w:val="24"/>
        </w:rPr>
        <w:t>.</w:t>
      </w:r>
      <w:r w:rsidRPr="00F13121">
        <w:rPr>
          <w:rFonts w:ascii="Times New Roman" w:hAnsi="Times New Roman" w:cs="Times New Roman"/>
          <w:sz w:val="24"/>
          <w:szCs w:val="24"/>
        </w:rPr>
        <w:t xml:space="preserve"> ILLINOIS v. CABALLES: </w:t>
      </w:r>
      <w:r w:rsidRPr="00F13121">
        <w:rPr>
          <w:rFonts w:ascii="Times New Roman" w:hAnsi="Times New Roman" w:cs="Times New Roman"/>
          <w:sz w:val="24"/>
          <w:szCs w:val="24"/>
        </w:rPr>
        <w:t>Justia</w:t>
      </w:r>
      <w:r w:rsidRPr="00F13121">
        <w:rPr>
          <w:rFonts w:ascii="Times New Roman" w:hAnsi="Times New Roman" w:cs="Times New Roman"/>
          <w:sz w:val="24"/>
          <w:szCs w:val="24"/>
        </w:rPr>
        <w:t xml:space="preserve"> Opinion Summary and Annotations. Retrieved from </w:t>
      </w:r>
      <w:hyperlink r:id="rId8" w:history="1">
        <w:r w:rsidRPr="00F13121">
          <w:rPr>
            <w:rStyle w:val="Hyperlink"/>
            <w:rFonts w:ascii="Times New Roman" w:hAnsi="Times New Roman" w:cs="Times New Roman"/>
            <w:sz w:val="24"/>
            <w:szCs w:val="24"/>
          </w:rPr>
          <w:t>https://supreme.justia.com/cases/federal/us/543/405/</w:t>
        </w:r>
      </w:hyperlink>
    </w:p>
    <w:sectPr w:rsidSect="00005864">
      <w:headerReference w:type="default" r:id="rId9"/>
      <w:headerReference w:type="firs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5864" w:rsidRPr="00005864" w14:paraId="0CC44B02" w14:textId="41FD1AC6">
    <w:pPr>
      <w:pStyle w:val="Header"/>
      <w:rPr>
        <w:rFonts w:ascii="Times New Roman" w:hAnsi="Times New Roman" w:cs="Times New Roman"/>
        <w:sz w:val="24"/>
        <w:szCs w:val="24"/>
      </w:rPr>
    </w:pPr>
    <w:r w:rsidRPr="00005864">
      <w:rPr>
        <w:rFonts w:ascii="Times New Roman" w:hAnsi="Times New Roman" w:cs="Times New Roman"/>
        <w:color w:val="222222"/>
        <w:sz w:val="24"/>
        <w:szCs w:val="24"/>
        <w:shd w:val="clear" w:color="auto" w:fill="FFFFFF"/>
      </w:rPr>
      <w:t>CAMS AND DASH</w:t>
    </w:r>
    <w:r>
      <w:rPr>
        <w:rFonts w:ascii="Times New Roman" w:hAnsi="Times New Roman" w:cs="Times New Roman"/>
        <w:color w:val="222222"/>
        <w:sz w:val="24"/>
        <w:szCs w:val="24"/>
        <w:shd w:val="clear" w:color="auto" w:fill="FFFFFF"/>
      </w:rPr>
      <w:t xml:space="preserve"> BOOST</w:t>
    </w:r>
    <w:r w:rsidRPr="00005864">
      <w:rPr>
        <w:rFonts w:ascii="Times New Roman" w:hAnsi="Times New Roman" w:cs="Times New Roman"/>
        <w:color w:val="222222"/>
        <w:sz w:val="24"/>
        <w:szCs w:val="24"/>
        <w:shd w:val="clear" w:color="auto" w:fill="FFFFFF"/>
      </w:rPr>
      <w:t xml:space="preserve"> INCREASE TRANSPARENCY </w:t>
    </w:r>
    <w:r>
      <w:rPr>
        <w:rFonts w:ascii="Times New Roman" w:hAnsi="Times New Roman" w:cs="Times New Roman"/>
        <w:color w:val="222222"/>
        <w:sz w:val="24"/>
        <w:szCs w:val="24"/>
        <w:shd w:val="clear" w:color="auto" w:fill="FFFFFF"/>
      </w:rPr>
      <w:tab/>
    </w:r>
    <w:r w:rsidRPr="00005864">
      <w:rPr>
        <w:rFonts w:ascii="Times New Roman" w:hAnsi="Times New Roman" w:cs="Times New Roman"/>
        <w:sz w:val="24"/>
        <w:szCs w:val="24"/>
      </w:rPr>
      <w:fldChar w:fldCharType="begin"/>
    </w:r>
    <w:r w:rsidRPr="00005864">
      <w:rPr>
        <w:rFonts w:ascii="Times New Roman" w:hAnsi="Times New Roman" w:cs="Times New Roman"/>
        <w:sz w:val="24"/>
        <w:szCs w:val="24"/>
      </w:rPr>
      <w:instrText xml:space="preserve"> PAGE   \* MERGEFORMAT </w:instrText>
    </w:r>
    <w:r w:rsidRPr="00005864">
      <w:rPr>
        <w:rFonts w:ascii="Times New Roman" w:hAnsi="Times New Roman" w:cs="Times New Roman"/>
        <w:sz w:val="24"/>
        <w:szCs w:val="24"/>
      </w:rPr>
      <w:fldChar w:fldCharType="separate"/>
    </w:r>
    <w:r w:rsidR="0063538D">
      <w:rPr>
        <w:rFonts w:ascii="Times New Roman" w:hAnsi="Times New Roman" w:cs="Times New Roman"/>
        <w:noProof/>
        <w:sz w:val="24"/>
        <w:szCs w:val="24"/>
      </w:rPr>
      <w:t>4</w:t>
    </w:r>
    <w:r w:rsidRPr="0000586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3121" w:rsidRPr="00005864" w14:paraId="78915A3A" w14:textId="3260D64A">
    <w:pPr>
      <w:pStyle w:val="Header"/>
      <w:rPr>
        <w:rFonts w:ascii="Times New Roman" w:hAnsi="Times New Roman" w:cs="Times New Roman"/>
        <w:sz w:val="24"/>
        <w:szCs w:val="24"/>
      </w:rPr>
    </w:pPr>
    <w:r w:rsidRPr="00005864">
      <w:rPr>
        <w:rFonts w:ascii="Times New Roman" w:hAnsi="Times New Roman" w:cs="Times New Roman"/>
        <w:sz w:val="24"/>
        <w:szCs w:val="24"/>
      </w:rPr>
      <w:t>Running head:</w:t>
    </w:r>
    <w:r>
      <w:rPr>
        <w:rFonts w:ascii="Times New Roman" w:hAnsi="Times New Roman" w:cs="Times New Roman"/>
        <w:sz w:val="24"/>
        <w:szCs w:val="24"/>
      </w:rPr>
      <w:t xml:space="preserve"> </w:t>
    </w:r>
    <w:r w:rsidRPr="00005864">
      <w:rPr>
        <w:rFonts w:ascii="Times New Roman" w:hAnsi="Times New Roman" w:cs="Times New Roman"/>
        <w:color w:val="222222"/>
        <w:sz w:val="24"/>
        <w:szCs w:val="24"/>
        <w:shd w:val="clear" w:color="auto" w:fill="FFFFFF"/>
      </w:rPr>
      <w:t xml:space="preserve">CAMS AND DASH INCREASE TRANSPARENCY </w:t>
    </w:r>
    <w:r>
      <w:rPr>
        <w:rFonts w:ascii="Times New Roman" w:hAnsi="Times New Roman" w:cs="Times New Roman"/>
        <w:color w:val="222222"/>
        <w:sz w:val="24"/>
        <w:szCs w:val="24"/>
        <w:shd w:val="clear" w:color="auto" w:fill="FFFFFF"/>
      </w:rPr>
      <w:tab/>
    </w:r>
    <w:r w:rsidRPr="00005864">
      <w:rPr>
        <w:rFonts w:ascii="Times New Roman" w:hAnsi="Times New Roman" w:cs="Times New Roman"/>
        <w:sz w:val="24"/>
        <w:szCs w:val="24"/>
      </w:rPr>
      <w:fldChar w:fldCharType="begin"/>
    </w:r>
    <w:r w:rsidRPr="00005864">
      <w:rPr>
        <w:rFonts w:ascii="Times New Roman" w:hAnsi="Times New Roman" w:cs="Times New Roman"/>
        <w:sz w:val="24"/>
        <w:szCs w:val="24"/>
      </w:rPr>
      <w:instrText xml:space="preserve"> PAGE   \* MERGEFORMAT </w:instrText>
    </w:r>
    <w:r w:rsidRPr="00005864">
      <w:rPr>
        <w:rFonts w:ascii="Times New Roman" w:hAnsi="Times New Roman" w:cs="Times New Roman"/>
        <w:sz w:val="24"/>
        <w:szCs w:val="24"/>
      </w:rPr>
      <w:fldChar w:fldCharType="separate"/>
    </w:r>
    <w:r w:rsidR="0063538D">
      <w:rPr>
        <w:rFonts w:ascii="Times New Roman" w:hAnsi="Times New Roman" w:cs="Times New Roman"/>
        <w:noProof/>
        <w:sz w:val="24"/>
        <w:szCs w:val="24"/>
      </w:rPr>
      <w:t>1</w:t>
    </w:r>
    <w:r w:rsidRPr="0000586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285"/>
    <w:rsid w:val="00005864"/>
    <w:rsid w:val="000419C2"/>
    <w:rsid w:val="00117C6E"/>
    <w:rsid w:val="00357EC7"/>
    <w:rsid w:val="004073B7"/>
    <w:rsid w:val="00495E1B"/>
    <w:rsid w:val="005A4004"/>
    <w:rsid w:val="0063538D"/>
    <w:rsid w:val="00666E38"/>
    <w:rsid w:val="00702C41"/>
    <w:rsid w:val="00774138"/>
    <w:rsid w:val="00776EF9"/>
    <w:rsid w:val="00831982"/>
    <w:rsid w:val="00846A89"/>
    <w:rsid w:val="00AD3915"/>
    <w:rsid w:val="00DA3677"/>
    <w:rsid w:val="00E96D1C"/>
    <w:rsid w:val="00F13121"/>
    <w:rsid w:val="00F23A9F"/>
    <w:rsid w:val="00F3228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3121"/>
    <w:rPr>
      <w:color w:val="0000FF"/>
      <w:u w:val="single"/>
    </w:rPr>
  </w:style>
  <w:style w:type="paragraph" w:styleId="Header">
    <w:name w:val="header"/>
    <w:basedOn w:val="Normal"/>
    <w:link w:val="HeaderChar"/>
    <w:uiPriority w:val="99"/>
    <w:unhideWhenUsed/>
    <w:rsid w:val="00F131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121"/>
    <w:rPr>
      <w:lang w:val="en-GB"/>
    </w:rPr>
  </w:style>
  <w:style w:type="paragraph" w:styleId="Footer">
    <w:name w:val="footer"/>
    <w:basedOn w:val="Normal"/>
    <w:link w:val="FooterChar"/>
    <w:uiPriority w:val="99"/>
    <w:unhideWhenUsed/>
    <w:rsid w:val="00F13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12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casetext.com/case/gericke-v-begin" TargetMode="External" /><Relationship Id="rId5" Type="http://schemas.openxmlformats.org/officeDocument/2006/relationships/hyperlink" Target="https://caselaw.findlaw.com/us-1st-circuit/1578557.html" TargetMode="External" /><Relationship Id="rId6" Type="http://schemas.openxmlformats.org/officeDocument/2006/relationships/hyperlink" Target="https://supreme.justia.com/cases/federal/us/500/248/" TargetMode="External" /><Relationship Id="rId7" Type="http://schemas.openxmlformats.org/officeDocument/2006/relationships/hyperlink" Target="https://supreme.justia.com/cases/federal/us/389/347/" TargetMode="External" /><Relationship Id="rId8" Type="http://schemas.openxmlformats.org/officeDocument/2006/relationships/hyperlink" Target="https://supreme.justia.com/cases/federal/us/543/405/"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4</Pages>
  <Words>778</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2019-05-06T05:42:00Z</dcterms:created>
  <dcterms:modified xsi:type="dcterms:W3CDTF">2019-05-06T15:46:00Z</dcterms:modified>
</cp:coreProperties>
</file>